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30" w:rsidRDefault="00D41E3B">
      <w:pPr>
        <w:rPr>
          <w:rFonts w:ascii="Californian FB" w:hAnsi="Californian FB"/>
          <w:sz w:val="40"/>
          <w:szCs w:val="40"/>
        </w:rPr>
      </w:pPr>
      <w:bookmarkStart w:id="0" w:name="_GoBack"/>
      <w:bookmarkEnd w:id="0"/>
      <w:r>
        <w:rPr>
          <w:rFonts w:ascii="Californian FB" w:hAnsi="Californian FB"/>
          <w:sz w:val="40"/>
          <w:szCs w:val="40"/>
        </w:rPr>
        <w:t>Pinon Hills</w:t>
      </w:r>
    </w:p>
    <w:p w:rsidR="00D41E3B" w:rsidRDefault="00D41E3B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2017 3</w:t>
      </w:r>
      <w:r w:rsidRPr="00D41E3B">
        <w:rPr>
          <w:rFonts w:ascii="Californian FB" w:hAnsi="Californian FB"/>
          <w:sz w:val="40"/>
          <w:szCs w:val="40"/>
          <w:vertAlign w:val="superscript"/>
        </w:rPr>
        <w:t>rd</w:t>
      </w:r>
      <w:r>
        <w:rPr>
          <w:rFonts w:ascii="Californian FB" w:hAnsi="Californian FB"/>
          <w:sz w:val="40"/>
          <w:szCs w:val="40"/>
        </w:rPr>
        <w:t xml:space="preserve"> Quarter Sales</w:t>
      </w:r>
    </w:p>
    <w:p w:rsidR="00D41E3B" w:rsidRPr="00D41E3B" w:rsidRDefault="00D41E3B">
      <w:pPr>
        <w:rPr>
          <w:rFonts w:ascii="Californian FB" w:hAnsi="Californian FB"/>
          <w:sz w:val="40"/>
          <w:szCs w:val="40"/>
        </w:rPr>
      </w:pPr>
      <w:r>
        <w:rPr>
          <w:noProof/>
        </w:rPr>
        <w:drawing>
          <wp:inline distT="0" distB="0" distL="0" distR="0" wp14:anchorId="6DE1A71F" wp14:editId="02A88328">
            <wp:extent cx="9286875" cy="609600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D41E3B" w:rsidRPr="00D41E3B" w:rsidSect="00D41E3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3B"/>
    <w:rsid w:val="00206930"/>
    <w:rsid w:val="00D4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8FC55-5AFD-42BC-AE07-6D8FC14B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/>
              <a:t>22 Homes</a:t>
            </a:r>
            <a:r>
              <a:rPr lang="en-US" i="1" baseline="0"/>
              <a:t> Sold</a:t>
            </a:r>
            <a:endParaRPr lang="en-US" i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[Template.xlsx]Sheet1!$B$1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[Template.xlsx]Sheet1!$A$2:$A$15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[Template.xlsx]Sheet1!$B$2:$B$15</c:f>
              <c:numCache>
                <c:formatCode>General</c:formatCode>
                <c:ptCount val="14"/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5</c:v>
                </c:pt>
                <c:pt idx="6">
                  <c:v>2</c:v>
                </c:pt>
                <c:pt idx="8">
                  <c:v>3</c:v>
                </c:pt>
                <c:pt idx="9">
                  <c:v>1</c:v>
                </c:pt>
                <c:pt idx="10">
                  <c:v>3</c:v>
                </c:pt>
                <c:pt idx="11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24247096"/>
        <c:axId val="448341080"/>
        <c:axId val="0"/>
      </c:bar3DChart>
      <c:catAx>
        <c:axId val="2242470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8341080"/>
        <c:crosses val="autoZero"/>
        <c:auto val="1"/>
        <c:lblAlgn val="ctr"/>
        <c:lblOffset val="100"/>
        <c:noMultiLvlLbl val="0"/>
      </c:catAx>
      <c:valAx>
        <c:axId val="44834108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242470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</cdr:x>
      <cdr:y>0.25625</cdr:y>
    </cdr:from>
    <cdr:to>
      <cdr:x>0.50667</cdr:x>
      <cdr:y>0.3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85900" y="1562100"/>
          <a:ext cx="321945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="1"/>
            <a:t> 2,892 </a:t>
          </a:r>
          <a:r>
            <a:rPr lang="en-US" sz="1100"/>
            <a:t>- Average Year Built </a:t>
          </a:r>
          <a:r>
            <a:rPr lang="en-US" sz="1100" b="1"/>
            <a:t>1998</a:t>
          </a:r>
        </a:p>
      </cdr:txBody>
    </cdr:sp>
  </cdr:relSizeAnchor>
  <cdr:relSizeAnchor xmlns:cdr="http://schemas.openxmlformats.org/drawingml/2006/chartDrawing">
    <cdr:from>
      <cdr:x>0.15897</cdr:x>
      <cdr:y>0.32031</cdr:y>
    </cdr:from>
    <cdr:to>
      <cdr:x>0.56923</cdr:x>
      <cdr:y>0.36094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76375" y="1952625"/>
          <a:ext cx="38100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="1"/>
            <a:t> 3,232 </a:t>
          </a:r>
          <a:r>
            <a:rPr lang="en-US" sz="1100"/>
            <a:t>- Average Year Built </a:t>
          </a:r>
          <a:r>
            <a:rPr lang="en-US" sz="1100" b="1"/>
            <a:t>1999</a:t>
          </a:r>
        </a:p>
      </cdr:txBody>
    </cdr:sp>
  </cdr:relSizeAnchor>
  <cdr:relSizeAnchor xmlns:cdr="http://schemas.openxmlformats.org/drawingml/2006/chartDrawing">
    <cdr:from>
      <cdr:x>0.16</cdr:x>
      <cdr:y>0.38125</cdr:y>
    </cdr:from>
    <cdr:to>
      <cdr:x>0.54154</cdr:x>
      <cdr:y>0.42188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85900" y="2324100"/>
          <a:ext cx="35433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SqFt </a:t>
          </a:r>
          <a:r>
            <a:rPr lang="en-US" sz="1100" b="1"/>
            <a:t>2,199</a:t>
          </a:r>
          <a:r>
            <a:rPr lang="en-US" sz="1100"/>
            <a:t> - Year Built </a:t>
          </a:r>
          <a:r>
            <a:rPr lang="en-US" sz="1100" b="1"/>
            <a:t>2005</a:t>
          </a:r>
        </a:p>
      </cdr:txBody>
    </cdr:sp>
  </cdr:relSizeAnchor>
  <cdr:relSizeAnchor xmlns:cdr="http://schemas.openxmlformats.org/drawingml/2006/chartDrawing">
    <cdr:from>
      <cdr:x>0.16</cdr:x>
      <cdr:y>0.44531</cdr:y>
    </cdr:from>
    <cdr:to>
      <cdr:x>0.51077</cdr:x>
      <cdr:y>0.49219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85900" y="2714625"/>
          <a:ext cx="3257550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2,626</a:t>
          </a:r>
          <a:r>
            <a:rPr lang="en-US" sz="1100"/>
            <a:t> - Average Year Built </a:t>
          </a:r>
          <a:r>
            <a:rPr lang="en-US" sz="1100" b="1"/>
            <a:t>1990</a:t>
          </a:r>
        </a:p>
      </cdr:txBody>
    </cdr:sp>
  </cdr:relSizeAnchor>
  <cdr:relSizeAnchor xmlns:cdr="http://schemas.openxmlformats.org/drawingml/2006/chartDrawing">
    <cdr:from>
      <cdr:x>0.15897</cdr:x>
      <cdr:y>0.56875</cdr:y>
    </cdr:from>
    <cdr:to>
      <cdr:x>0.52821</cdr:x>
      <cdr:y>0.60938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3467100"/>
          <a:ext cx="34290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1,895</a:t>
          </a:r>
          <a:r>
            <a:rPr lang="en-US" sz="1100"/>
            <a:t> - Average Year Built </a:t>
          </a:r>
          <a:r>
            <a:rPr lang="en-US" sz="1100" b="1"/>
            <a:t>1983</a:t>
          </a:r>
        </a:p>
      </cdr:txBody>
    </cdr:sp>
  </cdr:relSizeAnchor>
  <cdr:relSizeAnchor xmlns:cdr="http://schemas.openxmlformats.org/drawingml/2006/chartDrawing">
    <cdr:from>
      <cdr:x>0.16</cdr:x>
      <cdr:y>0.62969</cdr:y>
    </cdr:from>
    <cdr:to>
      <cdr:x>0.53538</cdr:x>
      <cdr:y>0.67031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85900" y="3838575"/>
          <a:ext cx="34861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="1"/>
            <a:t> 1,562 </a:t>
          </a:r>
          <a:r>
            <a:rPr lang="en-US" sz="1100"/>
            <a:t>- Average Year Built </a:t>
          </a:r>
          <a:r>
            <a:rPr lang="en-US" sz="1100" b="1"/>
            <a:t>1986</a:t>
          </a:r>
        </a:p>
      </cdr:txBody>
    </cdr:sp>
  </cdr:relSizeAnchor>
  <cdr:relSizeAnchor xmlns:cdr="http://schemas.openxmlformats.org/drawingml/2006/chartDrawing">
    <cdr:from>
      <cdr:x>0.16</cdr:x>
      <cdr:y>0.69219</cdr:y>
    </cdr:from>
    <cdr:to>
      <cdr:x>0.4759</cdr:x>
      <cdr:y>0.73281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85900" y="4219575"/>
          <a:ext cx="29337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SqFt </a:t>
          </a:r>
          <a:r>
            <a:rPr lang="en-US" sz="1100" b="1"/>
            <a:t>1,380</a:t>
          </a:r>
          <a:r>
            <a:rPr lang="en-US" sz="1100"/>
            <a:t> - Year Built </a:t>
          </a:r>
          <a:r>
            <a:rPr lang="en-US" sz="1100" b="1"/>
            <a:t>1991</a:t>
          </a:r>
        </a:p>
      </cdr:txBody>
    </cdr:sp>
  </cdr:relSizeAnchor>
  <cdr:relSizeAnchor xmlns:cdr="http://schemas.openxmlformats.org/drawingml/2006/chartDrawing">
    <cdr:from>
      <cdr:x>0.16</cdr:x>
      <cdr:y>0.75469</cdr:y>
    </cdr:from>
    <cdr:to>
      <cdr:x>0.46667</cdr:x>
      <cdr:y>0.79688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85900" y="4600575"/>
          <a:ext cx="28479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SqFt </a:t>
          </a:r>
          <a:r>
            <a:rPr lang="en-US" sz="1100" b="1"/>
            <a:t>1,010</a:t>
          </a:r>
          <a:r>
            <a:rPr lang="en-US" sz="1100"/>
            <a:t> - Year Built </a:t>
          </a:r>
          <a:r>
            <a:rPr lang="en-US" sz="1100" b="1"/>
            <a:t>1983</a:t>
          </a:r>
        </a:p>
      </cdr:txBody>
    </cdr:sp>
  </cdr:relSizeAnchor>
  <cdr:relSizeAnchor xmlns:cdr="http://schemas.openxmlformats.org/drawingml/2006/chartDrawing">
    <cdr:from>
      <cdr:x>0.16</cdr:x>
      <cdr:y>0.81875</cdr:y>
    </cdr:from>
    <cdr:to>
      <cdr:x>0.49026</cdr:x>
      <cdr:y>0.86719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85900" y="4991100"/>
          <a:ext cx="3067050" cy="2952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1,257</a:t>
          </a:r>
          <a:r>
            <a:rPr lang="en-US" sz="1100"/>
            <a:t> - Average Year Built </a:t>
          </a:r>
          <a:r>
            <a:rPr lang="en-US" sz="1100" b="1"/>
            <a:t>1975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</Words>
  <Characters>32</Characters>
  <Application>Microsoft Office Word</Application>
  <DocSecurity>0</DocSecurity>
  <Lines>1</Lines>
  <Paragraphs>1</Paragraphs>
  <ScaleCrop>false</ScaleCrop>
  <Company>Fidelity National Financial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2</cp:revision>
  <dcterms:created xsi:type="dcterms:W3CDTF">2017-10-25T17:59:00Z</dcterms:created>
  <dcterms:modified xsi:type="dcterms:W3CDTF">2017-10-25T18:08:00Z</dcterms:modified>
</cp:coreProperties>
</file>